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43" w:rsidRPr="00EA7C95" w:rsidRDefault="00AB4743" w:rsidP="00AB47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C95">
        <w:rPr>
          <w:rFonts w:ascii="Times New Roman" w:hAnsi="Times New Roman" w:cs="Times New Roman"/>
          <w:sz w:val="24"/>
          <w:szCs w:val="24"/>
        </w:rPr>
        <w:t>możliwość wprowadzenia dodatkowych informacji na ekranie dotykowym urządzenia.</w:t>
      </w:r>
    </w:p>
    <w:p w:rsidR="00AB4743" w:rsidRPr="00EA7C95" w:rsidRDefault="00AB4743" w:rsidP="00AB47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bCs/>
          <w:sz w:val="24"/>
          <w:szCs w:val="24"/>
        </w:rPr>
        <w:t>Specyfikacja techniczna: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wymiary: wys. 790 mm x szer. 690 mm x głęb. 1100 mm (wraz z taśmociągiem),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montaż w otworze o wymiarach: wys. 800 mm x szer. 700 mm,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ekran dotykowy SAW i monitor LCD 17”,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 xml:space="preserve">czytnik kart bibliotecznych z </w:t>
      </w:r>
      <w:proofErr w:type="spellStart"/>
      <w:r w:rsidRPr="00EA7C95">
        <w:rPr>
          <w:rFonts w:ascii="Times New Roman" w:hAnsi="Times New Roman" w:cs="Times New Roman"/>
          <w:sz w:val="24"/>
          <w:szCs w:val="24"/>
        </w:rPr>
        <w:t>barkodem</w:t>
      </w:r>
      <w:proofErr w:type="spellEnd"/>
      <w:r w:rsidRPr="00EA7C95">
        <w:rPr>
          <w:rFonts w:ascii="Times New Roman" w:hAnsi="Times New Roman" w:cs="Times New Roman"/>
          <w:sz w:val="24"/>
          <w:szCs w:val="24"/>
        </w:rPr>
        <w:t xml:space="preserve"> i chipowych,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zwroty bez konieczności identyfikacji za pomocą karty osoby zwracającej książki,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zabezpieczenie zezwalające wyłącznie na zwroty książek zaopatrzonych w aktywną etykietę,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drukarka pokwitowań: 80 mm,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automatycznie zamykany otwór wejściowy urządzenia,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obudowa urządzenia: stal oraz blacha nierdzewna,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urządzenie wandaloodporne do zamontowania w otworze ściennym (waga urządzenia 80 kg),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wyposażenie w urządzenie gaszące ewentualny pożar zgodnie z odpowiednimi przepisami,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urządzenie korzystające z przyłącza sieci energetycznej (230V 50Hz 10A),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urządzenie korzystające z przyłącza sieci teleinformatycznej (RJ 45 –stały nr IP),</w:t>
      </w:r>
    </w:p>
    <w:p w:rsidR="00AB4743" w:rsidRPr="00EA7C95" w:rsidRDefault="00AB4743" w:rsidP="00AB47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komunikacja z systemem bibliotecznym przez protokół SIP2 (dostępny w programie VTLS/</w:t>
      </w:r>
      <w:proofErr w:type="spellStart"/>
      <w:r w:rsidRPr="00EA7C95">
        <w:rPr>
          <w:rFonts w:ascii="Times New Roman" w:hAnsi="Times New Roman" w:cs="Times New Roman"/>
          <w:sz w:val="24"/>
          <w:szCs w:val="24"/>
        </w:rPr>
        <w:t>Virtua</w:t>
      </w:r>
      <w:proofErr w:type="spellEnd"/>
      <w:r w:rsidRPr="00EA7C95">
        <w:rPr>
          <w:rFonts w:ascii="Times New Roman" w:hAnsi="Times New Roman" w:cs="Times New Roman"/>
          <w:sz w:val="24"/>
          <w:szCs w:val="24"/>
        </w:rPr>
        <w:t>).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7C95">
        <w:rPr>
          <w:rFonts w:ascii="Times New Roman" w:hAnsi="Times New Roman" w:cs="Times New Roman"/>
          <w:b/>
          <w:sz w:val="24"/>
          <w:szCs w:val="24"/>
        </w:rPr>
        <w:t>Założenia do realizacji projektu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Projekt będzie realizowany etapami:</w:t>
      </w:r>
    </w:p>
    <w:p w:rsidR="00AB4743" w:rsidRPr="00EA7C95" w:rsidRDefault="00AB4743" w:rsidP="00AB47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przygotowanie projektu i przeprowadzenie uzgodnień,</w:t>
      </w:r>
    </w:p>
    <w:p w:rsidR="00AB4743" w:rsidRPr="00EA7C95" w:rsidRDefault="00AB4743" w:rsidP="00AB47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adaptacja pomieszczenia,</w:t>
      </w:r>
    </w:p>
    <w:p w:rsidR="00AB4743" w:rsidRPr="00EA7C95" w:rsidRDefault="00AB4743" w:rsidP="00AB47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zakup i zainstalowanie urządzenia,</w:t>
      </w:r>
    </w:p>
    <w:p w:rsidR="00AB4743" w:rsidRPr="00EA7C95" w:rsidRDefault="00AB4743" w:rsidP="00AB47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przyłączenie do komputerowej sieci lokalnej,</w:t>
      </w:r>
    </w:p>
    <w:p w:rsidR="00AB4743" w:rsidRPr="00EA7C95" w:rsidRDefault="00AB4743" w:rsidP="00AB47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przyłączenie do ogólnouczelnianego systemu bibliotecznego VTLS/</w:t>
      </w:r>
      <w:proofErr w:type="spellStart"/>
      <w:r w:rsidRPr="00EA7C95">
        <w:rPr>
          <w:rFonts w:ascii="Times New Roman" w:hAnsi="Times New Roman" w:cs="Times New Roman"/>
          <w:sz w:val="24"/>
          <w:szCs w:val="24"/>
        </w:rPr>
        <w:t>Virtua</w:t>
      </w:r>
      <w:proofErr w:type="spellEnd"/>
      <w:r w:rsidRPr="00EA7C95">
        <w:rPr>
          <w:rFonts w:ascii="Times New Roman" w:hAnsi="Times New Roman" w:cs="Times New Roman"/>
          <w:sz w:val="24"/>
          <w:szCs w:val="24"/>
        </w:rPr>
        <w:t>.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Do realizacji zakupu i wdrożenia zostanie wyłoniony wykonawca w drodze postępowania zgodnie z ustawą o zamówieniach publicznych.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W części dotyczącej przyłączenia do lokalnej sieci komputerowej, projekt będzie realizowany siłami własnymi Wydziału Zarządzania UW.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Projekt ma charakter innowacyjny, pierwsza realizacja na UW, z możliwością wykorzystania przez inne biblioteki UW.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7C95">
        <w:rPr>
          <w:rFonts w:ascii="Times New Roman" w:hAnsi="Times New Roman" w:cs="Times New Roman"/>
          <w:b/>
          <w:sz w:val="24"/>
          <w:szCs w:val="24"/>
        </w:rPr>
        <w:t>Zgodność projektu z dokumentami uniwersyteckimi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A7C95">
        <w:rPr>
          <w:rFonts w:ascii="Times New Roman" w:hAnsi="Times New Roman" w:cs="Times New Roman"/>
          <w:i/>
          <w:sz w:val="24"/>
          <w:szCs w:val="24"/>
        </w:rPr>
        <w:t>Statut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Projekt zgodny z zapisem § 25 (</w:t>
      </w:r>
      <w:r w:rsidRPr="00EA7C95">
        <w:rPr>
          <w:rFonts w:ascii="Times New Roman" w:hAnsi="Times New Roman" w:cs="Times New Roman"/>
          <w:i/>
          <w:sz w:val="24"/>
          <w:szCs w:val="24"/>
        </w:rPr>
        <w:t xml:space="preserve">System biblioteczno-informacyjny) </w:t>
      </w:r>
      <w:r w:rsidRPr="00EA7C95">
        <w:rPr>
          <w:rFonts w:ascii="Times New Roman" w:hAnsi="Times New Roman" w:cs="Times New Roman"/>
          <w:sz w:val="24"/>
          <w:szCs w:val="24"/>
        </w:rPr>
        <w:t>ust. 6: „Zasady, o których mowa w ust. 5, uwzględniają potrzebę zapewnienia dostępu członków społeczności akademickiej Uniwersytetu do zasobów systemu biblioteczno-informacyjnego Uniwersytetu.”</w:t>
      </w:r>
    </w:p>
    <w:p w:rsidR="00AB4743" w:rsidRPr="00EA7C95" w:rsidRDefault="00AB4743" w:rsidP="00AB474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A7C95">
        <w:rPr>
          <w:rFonts w:ascii="Times New Roman" w:hAnsi="Times New Roman" w:cs="Times New Roman"/>
          <w:i/>
          <w:sz w:val="24"/>
          <w:szCs w:val="24"/>
        </w:rPr>
        <w:t>Misja Uniwersytetu Warszawskiego</w:t>
      </w:r>
    </w:p>
    <w:p w:rsidR="00AB4743" w:rsidRPr="00EA7C95" w:rsidRDefault="00AB4743" w:rsidP="00AB47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Projekt zgodny z zapisem: „Społeczną misją Uniwersytetu jest zapewnienie dostępu do wiedzy i nabywania umiejętności wszystkim tym, którzy mają do tego prawo.” [str. 2]</w:t>
      </w:r>
    </w:p>
    <w:p w:rsidR="00AB4743" w:rsidRPr="00EA7C95" w:rsidRDefault="00AB4743" w:rsidP="00AB47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 xml:space="preserve">Projekt zgodny z zapisem: „Uniwersytet Warszawski jako ośrodek naukowy, edukacyjny i kulturalny winien służyć też swemu bezpośredniemu otoczeniu […] </w:t>
      </w:r>
      <w:r w:rsidRPr="00EA7C95">
        <w:rPr>
          <w:rFonts w:ascii="Times New Roman" w:hAnsi="Times New Roman" w:cs="Times New Roman"/>
          <w:sz w:val="24"/>
          <w:szCs w:val="24"/>
        </w:rPr>
        <w:lastRenderedPageBreak/>
        <w:t>przez upowszechnienie i popularyzację nauki i wiedzy oraz udostępnienie swoich zasobów informacyjnych i bibliotecznych.”[str. 5]</w:t>
      </w:r>
    </w:p>
    <w:p w:rsidR="00AB4743" w:rsidRPr="00EA7C95" w:rsidRDefault="00AB4743" w:rsidP="00AB47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C95">
        <w:rPr>
          <w:rFonts w:ascii="Times New Roman" w:hAnsi="Times New Roman" w:cs="Times New Roman"/>
          <w:sz w:val="24"/>
          <w:szCs w:val="24"/>
        </w:rPr>
        <w:t>Projekt zgodny z zapisem: „Warunkiem uczynienia z Uniwersytetu liczącego się w świecie ośrodka naukowego jest dokonanie poważnych inwestycji w laboratoria i aparaturę badawczą oraz w zasoby biblioteczne i funkcjonowanie bibliotek.” [str. 12]</w:t>
      </w:r>
    </w:p>
    <w:p w:rsidR="007232B7" w:rsidRDefault="007232B7"/>
    <w:sectPr w:rsidR="0072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38"/>
    <w:multiLevelType w:val="hybridMultilevel"/>
    <w:tmpl w:val="48E03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582B"/>
    <w:multiLevelType w:val="hybridMultilevel"/>
    <w:tmpl w:val="49A4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F0AA4"/>
    <w:multiLevelType w:val="hybridMultilevel"/>
    <w:tmpl w:val="4F9C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A1D5C"/>
    <w:multiLevelType w:val="hybridMultilevel"/>
    <w:tmpl w:val="06CC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601E7"/>
    <w:multiLevelType w:val="hybridMultilevel"/>
    <w:tmpl w:val="3C840EC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BCC1600"/>
    <w:multiLevelType w:val="hybridMultilevel"/>
    <w:tmpl w:val="28A80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43"/>
    <w:rsid w:val="007232B7"/>
    <w:rsid w:val="00A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47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4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47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Florek</dc:creator>
  <cp:lastModifiedBy>Ewa Florek</cp:lastModifiedBy>
  <cp:revision>1</cp:revision>
  <dcterms:created xsi:type="dcterms:W3CDTF">2017-11-10T13:54:00Z</dcterms:created>
  <dcterms:modified xsi:type="dcterms:W3CDTF">2017-11-10T13:58:00Z</dcterms:modified>
</cp:coreProperties>
</file>